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90C" w14:textId="0F91A8D7" w:rsidR="00C31008" w:rsidRPr="00D031C7" w:rsidRDefault="00F0512C" w:rsidP="00F277FD">
      <w:pPr>
        <w:jc w:val="center"/>
        <w:rPr>
          <w:rFonts w:ascii="Arial" w:hAnsi="Arial" w:cs="Arial"/>
          <w:b/>
          <w:bCs/>
        </w:rPr>
      </w:pPr>
      <w:r w:rsidRPr="00D031C7">
        <w:rPr>
          <w:rFonts w:ascii="Arial" w:hAnsi="Arial" w:cs="Arial"/>
          <w:b/>
          <w:bCs/>
        </w:rPr>
        <w:t>Comentarios Proyecto Acuerdo SIGIRTEX</w:t>
      </w:r>
    </w:p>
    <w:p w14:paraId="421CD162" w14:textId="77777777" w:rsidR="00F0512C" w:rsidRPr="00D031C7" w:rsidRDefault="00F0512C">
      <w:pPr>
        <w:rPr>
          <w:rFonts w:ascii="Arial" w:hAnsi="Arial" w:cs="Arial"/>
        </w:rPr>
      </w:pPr>
    </w:p>
    <w:p w14:paraId="299DD080" w14:textId="3D123EFB" w:rsidR="00F0512C" w:rsidRPr="00D031C7" w:rsidRDefault="001425BC">
      <w:pPr>
        <w:rPr>
          <w:rFonts w:ascii="Arial" w:hAnsi="Arial" w:cs="Arial"/>
        </w:rPr>
      </w:pPr>
      <w:r w:rsidRPr="00D031C7">
        <w:rPr>
          <w:rFonts w:ascii="Arial" w:hAnsi="Arial" w:cs="Arial"/>
        </w:rPr>
        <w:t>En el artículo 4 – Definiciones, f</w:t>
      </w:r>
      <w:r w:rsidR="00AB6C15" w:rsidRPr="00D031C7">
        <w:rPr>
          <w:rFonts w:ascii="Arial" w:hAnsi="Arial" w:cs="Arial"/>
        </w:rPr>
        <w:t xml:space="preserve">altan definiciones importantes: </w:t>
      </w:r>
    </w:p>
    <w:p w14:paraId="50B64853" w14:textId="77777777" w:rsidR="001425BC" w:rsidRPr="00D031C7" w:rsidRDefault="00AB6C15" w:rsidP="001425BC">
      <w:pPr>
        <w:pStyle w:val="Prrafodelista"/>
        <w:numPr>
          <w:ilvl w:val="0"/>
          <w:numId w:val="12"/>
        </w:numPr>
        <w:rPr>
          <w:rFonts w:ascii="Arial" w:hAnsi="Arial" w:cs="Arial"/>
        </w:rPr>
      </w:pPr>
      <w:r w:rsidRPr="00D031C7">
        <w:rPr>
          <w:rFonts w:ascii="Arial" w:hAnsi="Arial" w:cs="Arial"/>
        </w:rPr>
        <w:t>Aprovechamiento textil</w:t>
      </w:r>
      <w:r w:rsidR="001425BC" w:rsidRPr="00D031C7">
        <w:rPr>
          <w:rFonts w:ascii="Arial" w:hAnsi="Arial" w:cs="Arial"/>
        </w:rPr>
        <w:t>:</w:t>
      </w:r>
    </w:p>
    <w:p w14:paraId="22EAE9FB" w14:textId="77777777" w:rsidR="001425BC" w:rsidRPr="00D031C7" w:rsidRDefault="001425BC" w:rsidP="001425BC">
      <w:pPr>
        <w:pStyle w:val="Prrafodelista"/>
        <w:numPr>
          <w:ilvl w:val="1"/>
          <w:numId w:val="12"/>
        </w:numPr>
        <w:rPr>
          <w:rFonts w:ascii="Arial" w:hAnsi="Arial" w:cs="Arial"/>
        </w:rPr>
      </w:pPr>
      <w:r w:rsidRPr="00D031C7">
        <w:rPr>
          <w:rFonts w:ascii="Arial" w:hAnsi="Arial" w:cs="Arial"/>
        </w:rPr>
        <w:t>R</w:t>
      </w:r>
      <w:r w:rsidR="00AB6C15" w:rsidRPr="00D031C7">
        <w:rPr>
          <w:rFonts w:ascii="Arial" w:hAnsi="Arial" w:cs="Arial"/>
        </w:rPr>
        <w:t xml:space="preserve">eutilización, </w:t>
      </w:r>
    </w:p>
    <w:p w14:paraId="0D2F1DF7" w14:textId="77777777" w:rsidR="001425BC" w:rsidRPr="00D031C7" w:rsidRDefault="001425BC" w:rsidP="001425BC">
      <w:pPr>
        <w:pStyle w:val="Prrafodelista"/>
        <w:numPr>
          <w:ilvl w:val="1"/>
          <w:numId w:val="12"/>
        </w:numPr>
        <w:rPr>
          <w:rFonts w:ascii="Arial" w:hAnsi="Arial" w:cs="Arial"/>
        </w:rPr>
      </w:pPr>
      <w:r w:rsidRPr="00D031C7">
        <w:rPr>
          <w:rFonts w:ascii="Arial" w:hAnsi="Arial" w:cs="Arial"/>
        </w:rPr>
        <w:t>R</w:t>
      </w:r>
      <w:r w:rsidR="00AB6C15" w:rsidRPr="00D031C7">
        <w:rPr>
          <w:rFonts w:ascii="Arial" w:hAnsi="Arial" w:cs="Arial"/>
        </w:rPr>
        <w:t xml:space="preserve">eciclaje, </w:t>
      </w:r>
    </w:p>
    <w:p w14:paraId="78159CE5" w14:textId="38D5987B" w:rsidR="001425BC" w:rsidRPr="00D031C7" w:rsidRDefault="001425BC" w:rsidP="001425BC">
      <w:pPr>
        <w:pStyle w:val="Prrafodelista"/>
        <w:numPr>
          <w:ilvl w:val="1"/>
          <w:numId w:val="12"/>
        </w:numPr>
        <w:rPr>
          <w:rFonts w:ascii="Arial" w:hAnsi="Arial" w:cs="Arial"/>
        </w:rPr>
      </w:pPr>
      <w:r w:rsidRPr="00D031C7">
        <w:rPr>
          <w:rFonts w:ascii="Arial" w:hAnsi="Arial" w:cs="Arial"/>
        </w:rPr>
        <w:t>V</w:t>
      </w:r>
      <w:r w:rsidR="00AB6C15" w:rsidRPr="00D031C7">
        <w:rPr>
          <w:rFonts w:ascii="Arial" w:hAnsi="Arial" w:cs="Arial"/>
        </w:rPr>
        <w:t>alorización</w:t>
      </w:r>
      <w:r w:rsidRPr="00D031C7">
        <w:rPr>
          <w:rFonts w:ascii="Arial" w:hAnsi="Arial" w:cs="Arial"/>
        </w:rPr>
        <w:t>,</w:t>
      </w:r>
    </w:p>
    <w:p w14:paraId="18280E98" w14:textId="77777777" w:rsidR="001425BC" w:rsidRPr="00D031C7" w:rsidRDefault="001425BC" w:rsidP="001425BC">
      <w:pPr>
        <w:pStyle w:val="Prrafodelista"/>
        <w:numPr>
          <w:ilvl w:val="1"/>
          <w:numId w:val="12"/>
        </w:numPr>
        <w:rPr>
          <w:rFonts w:ascii="Arial" w:hAnsi="Arial" w:cs="Arial"/>
        </w:rPr>
      </w:pPr>
      <w:proofErr w:type="spellStart"/>
      <w:r w:rsidRPr="00D031C7">
        <w:rPr>
          <w:rFonts w:ascii="Arial" w:hAnsi="Arial" w:cs="Arial"/>
        </w:rPr>
        <w:t>R</w:t>
      </w:r>
      <w:r w:rsidR="00AB6C15" w:rsidRPr="00D031C7">
        <w:rPr>
          <w:rFonts w:ascii="Arial" w:hAnsi="Arial" w:cs="Arial"/>
        </w:rPr>
        <w:t>euso</w:t>
      </w:r>
      <w:proofErr w:type="spellEnd"/>
      <w:r w:rsidR="00AB6C15" w:rsidRPr="00D031C7">
        <w:rPr>
          <w:rFonts w:ascii="Arial" w:hAnsi="Arial" w:cs="Arial"/>
        </w:rPr>
        <w:t xml:space="preserve">, </w:t>
      </w:r>
    </w:p>
    <w:p w14:paraId="52261158" w14:textId="77777777" w:rsidR="001425BC" w:rsidRPr="00D031C7" w:rsidRDefault="001425BC" w:rsidP="001425BC">
      <w:pPr>
        <w:pStyle w:val="Prrafodelista"/>
        <w:numPr>
          <w:ilvl w:val="1"/>
          <w:numId w:val="12"/>
        </w:numPr>
        <w:rPr>
          <w:rFonts w:ascii="Arial" w:hAnsi="Arial" w:cs="Arial"/>
        </w:rPr>
      </w:pPr>
      <w:r w:rsidRPr="00D031C7">
        <w:rPr>
          <w:rFonts w:ascii="Arial" w:hAnsi="Arial" w:cs="Arial"/>
        </w:rPr>
        <w:t>R</w:t>
      </w:r>
      <w:r w:rsidR="00AB6C15" w:rsidRPr="00D031C7">
        <w:rPr>
          <w:rFonts w:ascii="Arial" w:hAnsi="Arial" w:cs="Arial"/>
        </w:rPr>
        <w:t xml:space="preserve">eparación, </w:t>
      </w:r>
    </w:p>
    <w:p w14:paraId="4D5C7237" w14:textId="1EA8EAD8" w:rsidR="001425BC" w:rsidRPr="00D031C7" w:rsidRDefault="001425BC" w:rsidP="001425BC">
      <w:pPr>
        <w:pStyle w:val="Prrafodelista"/>
        <w:numPr>
          <w:ilvl w:val="1"/>
          <w:numId w:val="12"/>
        </w:numPr>
        <w:rPr>
          <w:rFonts w:ascii="Arial" w:hAnsi="Arial" w:cs="Arial"/>
        </w:rPr>
      </w:pPr>
      <w:r w:rsidRPr="00D031C7">
        <w:rPr>
          <w:rFonts w:ascii="Arial" w:hAnsi="Arial" w:cs="Arial"/>
        </w:rPr>
        <w:t>R</w:t>
      </w:r>
      <w:r w:rsidR="00AB6C15" w:rsidRPr="00D031C7">
        <w:rPr>
          <w:rFonts w:ascii="Arial" w:hAnsi="Arial" w:cs="Arial"/>
        </w:rPr>
        <w:t xml:space="preserve">emanufactura, </w:t>
      </w:r>
    </w:p>
    <w:p w14:paraId="10549786" w14:textId="77777777" w:rsidR="001425BC" w:rsidRPr="00D031C7" w:rsidRDefault="001425BC" w:rsidP="001425BC">
      <w:pPr>
        <w:pStyle w:val="Prrafodelista"/>
        <w:numPr>
          <w:ilvl w:val="1"/>
          <w:numId w:val="12"/>
        </w:numPr>
        <w:rPr>
          <w:rFonts w:ascii="Arial" w:hAnsi="Arial" w:cs="Arial"/>
        </w:rPr>
      </w:pPr>
      <w:r w:rsidRPr="00D031C7">
        <w:rPr>
          <w:rFonts w:ascii="Arial" w:hAnsi="Arial" w:cs="Arial"/>
        </w:rPr>
        <w:t>R</w:t>
      </w:r>
      <w:r w:rsidR="00AB6C15" w:rsidRPr="00D031C7">
        <w:rPr>
          <w:rFonts w:ascii="Arial" w:hAnsi="Arial" w:cs="Arial"/>
        </w:rPr>
        <w:t xml:space="preserve">eciclaje, </w:t>
      </w:r>
    </w:p>
    <w:p w14:paraId="1CA4D27F" w14:textId="77777777" w:rsidR="00F277FD" w:rsidRPr="00D031C7" w:rsidRDefault="001425BC" w:rsidP="00F277FD">
      <w:pPr>
        <w:pStyle w:val="Prrafodelista"/>
        <w:numPr>
          <w:ilvl w:val="1"/>
          <w:numId w:val="12"/>
        </w:numPr>
        <w:rPr>
          <w:rFonts w:ascii="Arial" w:hAnsi="Arial" w:cs="Arial"/>
        </w:rPr>
      </w:pPr>
      <w:proofErr w:type="spellStart"/>
      <w:r w:rsidRPr="00D031C7">
        <w:rPr>
          <w:rFonts w:ascii="Arial" w:hAnsi="Arial" w:cs="Arial"/>
        </w:rPr>
        <w:t>C</w:t>
      </w:r>
      <w:r w:rsidR="00AB6C15" w:rsidRPr="00D031C7">
        <w:rPr>
          <w:rFonts w:ascii="Arial" w:hAnsi="Arial" w:cs="Arial"/>
        </w:rPr>
        <w:t>oprocesamiento</w:t>
      </w:r>
      <w:proofErr w:type="spellEnd"/>
      <w:r w:rsidRPr="00D031C7">
        <w:rPr>
          <w:rFonts w:ascii="Arial" w:hAnsi="Arial" w:cs="Arial"/>
        </w:rPr>
        <w:t>.</w:t>
      </w:r>
    </w:p>
    <w:p w14:paraId="3D427C40" w14:textId="77777777" w:rsidR="00F277FD" w:rsidRPr="00D031C7" w:rsidRDefault="00F277FD" w:rsidP="00F277FD">
      <w:pPr>
        <w:rPr>
          <w:rFonts w:ascii="Arial" w:hAnsi="Arial" w:cs="Arial"/>
        </w:rPr>
      </w:pPr>
    </w:p>
    <w:p w14:paraId="35EA3EB0" w14:textId="37867BA7" w:rsidR="00AB6C15" w:rsidRPr="00D031C7" w:rsidRDefault="00AB6C15" w:rsidP="00C744FC">
      <w:pPr>
        <w:jc w:val="both"/>
        <w:rPr>
          <w:rFonts w:ascii="Arial" w:hAnsi="Arial" w:cs="Arial"/>
        </w:rPr>
      </w:pPr>
      <w:r w:rsidRPr="00D031C7">
        <w:rPr>
          <w:rFonts w:ascii="Arial" w:hAnsi="Arial" w:cs="Arial"/>
        </w:rPr>
        <w:t>Los cuales son mencionados a lo largo del proyecto de acuerdo, pero no son explicados a detalle y pueden generar mezcla de conceptos o dejar a la interpretación de quien lee el proyecto de acuerdo.</w:t>
      </w:r>
    </w:p>
    <w:p w14:paraId="25EC4EF3" w14:textId="3EB1A90C" w:rsidR="001425BC" w:rsidRPr="00D031C7" w:rsidRDefault="001425BC" w:rsidP="00F0512C">
      <w:pPr>
        <w:spacing w:before="100" w:beforeAutospacing="1" w:after="100" w:afterAutospacing="1"/>
        <w:rPr>
          <w:rFonts w:ascii="Arial" w:eastAsia="Times New Roman" w:hAnsi="Arial" w:cs="Arial"/>
          <w:color w:val="000000"/>
          <w:lang w:eastAsia="es-MX"/>
        </w:rPr>
      </w:pPr>
      <w:r w:rsidRPr="00D031C7">
        <w:rPr>
          <w:rFonts w:ascii="Arial" w:eastAsia="Times New Roman" w:hAnsi="Arial" w:cs="Arial"/>
          <w:color w:val="000000"/>
          <w:lang w:eastAsia="es-MX"/>
        </w:rPr>
        <w:t>Artículo 7 – Red de puntos de recolección textil posconsumo</w:t>
      </w:r>
    </w:p>
    <w:p w14:paraId="074702FD" w14:textId="05F39798" w:rsidR="001425BC" w:rsidRPr="00D031C7" w:rsidRDefault="001425BC" w:rsidP="001425BC">
      <w:pPr>
        <w:spacing w:before="100" w:beforeAutospacing="1" w:after="100" w:afterAutospacing="1"/>
        <w:jc w:val="both"/>
        <w:rPr>
          <w:rFonts w:ascii="Arial" w:eastAsia="Times New Roman" w:hAnsi="Arial" w:cs="Arial"/>
          <w:color w:val="000000"/>
          <w:lang w:eastAsia="es-MX"/>
        </w:rPr>
      </w:pPr>
      <w:r w:rsidRPr="00D031C7">
        <w:rPr>
          <w:rFonts w:ascii="Arial" w:eastAsia="Times New Roman" w:hAnsi="Arial" w:cs="Arial"/>
          <w:color w:val="000000"/>
          <w:lang w:eastAsia="es-MX"/>
        </w:rPr>
        <w:t>Se debería definir con mayor claridad los roles de gobernanza en este sistema, cuál es el rol de la UAESP, cual es el rol de la SDA, de los gestores, de los privados, de los centros comerciales o grandes superficies donde se van a instalar la red de puntos de recolección.</w:t>
      </w:r>
    </w:p>
    <w:p w14:paraId="0B161F8C" w14:textId="3465CA5D" w:rsidR="001425BC" w:rsidRPr="00D031C7" w:rsidRDefault="00F277FD" w:rsidP="00C744FC">
      <w:pPr>
        <w:spacing w:before="100" w:beforeAutospacing="1" w:after="100" w:afterAutospacing="1"/>
        <w:jc w:val="both"/>
        <w:rPr>
          <w:rFonts w:ascii="Arial" w:eastAsia="Times New Roman" w:hAnsi="Arial" w:cs="Arial"/>
          <w:color w:val="000000"/>
          <w:lang w:eastAsia="es-MX"/>
        </w:rPr>
      </w:pPr>
      <w:r w:rsidRPr="00D031C7">
        <w:rPr>
          <w:rFonts w:ascii="Arial" w:eastAsia="Times New Roman" w:hAnsi="Arial" w:cs="Arial"/>
          <w:color w:val="000000"/>
          <w:lang w:eastAsia="es-MX"/>
        </w:rPr>
        <w:t xml:space="preserve">Artículo </w:t>
      </w:r>
      <w:r w:rsidRPr="00D031C7">
        <w:rPr>
          <w:rFonts w:ascii="Arial" w:eastAsia="Times New Roman" w:hAnsi="Arial" w:cs="Arial"/>
          <w:color w:val="000000"/>
          <w:lang w:eastAsia="es-MX"/>
        </w:rPr>
        <w:t>9 – O</w:t>
      </w:r>
      <w:r w:rsidRPr="00F0512C">
        <w:rPr>
          <w:rFonts w:ascii="Arial" w:eastAsia="Times New Roman" w:hAnsi="Arial" w:cs="Arial"/>
          <w:color w:val="000000"/>
          <w:lang w:eastAsia="es-MX"/>
        </w:rPr>
        <w:t>bligaciones de productores e importadores</w:t>
      </w:r>
    </w:p>
    <w:p w14:paraId="3FD7836B" w14:textId="637B792E" w:rsidR="00F277FD" w:rsidRPr="00D031C7" w:rsidRDefault="00F277FD" w:rsidP="00C744FC">
      <w:pPr>
        <w:spacing w:before="100" w:beforeAutospacing="1" w:after="100" w:afterAutospacing="1"/>
        <w:jc w:val="both"/>
        <w:rPr>
          <w:rFonts w:ascii="Arial" w:eastAsia="Times New Roman" w:hAnsi="Arial" w:cs="Arial"/>
          <w:color w:val="000000"/>
          <w:lang w:eastAsia="es-MX"/>
        </w:rPr>
      </w:pPr>
      <w:r w:rsidRPr="00D031C7">
        <w:rPr>
          <w:rFonts w:ascii="Arial" w:eastAsia="Times New Roman" w:hAnsi="Arial" w:cs="Arial"/>
          <w:color w:val="000000"/>
          <w:lang w:eastAsia="es-MX"/>
        </w:rPr>
        <w:t xml:space="preserve">La </w:t>
      </w:r>
      <w:r w:rsidRPr="00F0512C">
        <w:rPr>
          <w:rFonts w:ascii="Arial" w:eastAsia="Times New Roman" w:hAnsi="Arial" w:cs="Arial"/>
          <w:color w:val="000000"/>
          <w:lang w:eastAsia="es-MX"/>
        </w:rPr>
        <w:t>Responsabilidad Extendida del Productor (REP) normalmente se regula a nivel nacional (</w:t>
      </w:r>
      <w:proofErr w:type="spellStart"/>
      <w:r w:rsidRPr="00F0512C">
        <w:rPr>
          <w:rFonts w:ascii="Arial" w:eastAsia="Times New Roman" w:hAnsi="Arial" w:cs="Arial"/>
          <w:color w:val="000000"/>
          <w:lang w:eastAsia="es-MX"/>
        </w:rPr>
        <w:t>MinAmbiente</w:t>
      </w:r>
      <w:proofErr w:type="spellEnd"/>
      <w:r w:rsidRPr="00F0512C">
        <w:rPr>
          <w:rFonts w:ascii="Arial" w:eastAsia="Times New Roman" w:hAnsi="Arial" w:cs="Arial"/>
          <w:color w:val="000000"/>
          <w:lang w:eastAsia="es-MX"/>
        </w:rPr>
        <w:t>)</w:t>
      </w:r>
      <w:r w:rsidRPr="00D031C7">
        <w:rPr>
          <w:rFonts w:ascii="Arial" w:eastAsia="Times New Roman" w:hAnsi="Arial" w:cs="Arial"/>
          <w:color w:val="000000"/>
          <w:lang w:eastAsia="es-MX"/>
        </w:rPr>
        <w:t>, por lo tanto este proyecto acuerdo puede exceder las competencias distritales en este tema. Se recomienda incentivar o promover, generar lineamientos, pero no imponer estas acciones.</w:t>
      </w:r>
    </w:p>
    <w:p w14:paraId="6A80E70F" w14:textId="77777777" w:rsidR="00F277FD" w:rsidRPr="00AB6C15" w:rsidRDefault="00F277FD" w:rsidP="00C744FC">
      <w:pPr>
        <w:spacing w:before="100" w:beforeAutospacing="1" w:after="100" w:afterAutospacing="1"/>
        <w:jc w:val="both"/>
        <w:rPr>
          <w:rFonts w:ascii="Arial" w:eastAsia="Times New Roman" w:hAnsi="Arial" w:cs="Arial"/>
          <w:color w:val="000000"/>
          <w:lang w:eastAsia="es-MX"/>
        </w:rPr>
      </w:pPr>
      <w:r w:rsidRPr="00AB6C15">
        <w:rPr>
          <w:rFonts w:ascii="Arial" w:eastAsia="Times New Roman" w:hAnsi="Arial" w:cs="Arial"/>
          <w:color w:val="000000"/>
          <w:lang w:eastAsia="es-MX"/>
        </w:rPr>
        <w:t>En vez de obligaciones rígidas:</w:t>
      </w:r>
    </w:p>
    <w:p w14:paraId="6E2D1931" w14:textId="77777777" w:rsidR="00F277FD" w:rsidRPr="00AB6C15" w:rsidRDefault="00F277FD" w:rsidP="00C744FC">
      <w:pPr>
        <w:numPr>
          <w:ilvl w:val="0"/>
          <w:numId w:val="9"/>
        </w:numPr>
        <w:spacing w:before="100" w:beforeAutospacing="1" w:after="100" w:afterAutospacing="1"/>
        <w:jc w:val="both"/>
        <w:rPr>
          <w:rFonts w:ascii="Arial" w:eastAsia="Times New Roman" w:hAnsi="Arial" w:cs="Arial"/>
          <w:color w:val="000000"/>
          <w:lang w:eastAsia="es-MX"/>
        </w:rPr>
      </w:pPr>
      <w:r w:rsidRPr="00AB6C15">
        <w:rPr>
          <w:rFonts w:ascii="Arial" w:eastAsia="Times New Roman" w:hAnsi="Arial" w:cs="Arial"/>
          <w:color w:val="000000"/>
          <w:lang w:eastAsia="es-MX"/>
        </w:rPr>
        <w:t>hablar de articulación,</w:t>
      </w:r>
    </w:p>
    <w:p w14:paraId="532C5879" w14:textId="77777777" w:rsidR="00F277FD" w:rsidRPr="00AB6C15" w:rsidRDefault="00F277FD" w:rsidP="00C744FC">
      <w:pPr>
        <w:numPr>
          <w:ilvl w:val="0"/>
          <w:numId w:val="9"/>
        </w:numPr>
        <w:spacing w:before="100" w:beforeAutospacing="1" w:after="100" w:afterAutospacing="1"/>
        <w:jc w:val="both"/>
        <w:rPr>
          <w:rFonts w:ascii="Arial" w:eastAsia="Times New Roman" w:hAnsi="Arial" w:cs="Arial"/>
          <w:color w:val="000000"/>
          <w:lang w:eastAsia="es-MX"/>
        </w:rPr>
      </w:pPr>
      <w:r w:rsidRPr="00AB6C15">
        <w:rPr>
          <w:rFonts w:ascii="Arial" w:eastAsia="Times New Roman" w:hAnsi="Arial" w:cs="Arial"/>
          <w:color w:val="000000"/>
          <w:lang w:eastAsia="es-MX"/>
        </w:rPr>
        <w:t>gradualidad,</w:t>
      </w:r>
    </w:p>
    <w:p w14:paraId="674AF48B" w14:textId="77777777" w:rsidR="00F277FD" w:rsidRPr="00AB6C15" w:rsidRDefault="00F277FD" w:rsidP="00C744FC">
      <w:pPr>
        <w:numPr>
          <w:ilvl w:val="0"/>
          <w:numId w:val="9"/>
        </w:numPr>
        <w:spacing w:before="100" w:beforeAutospacing="1" w:after="100" w:afterAutospacing="1"/>
        <w:jc w:val="both"/>
        <w:rPr>
          <w:rFonts w:ascii="Arial" w:eastAsia="Times New Roman" w:hAnsi="Arial" w:cs="Arial"/>
          <w:color w:val="000000"/>
          <w:lang w:eastAsia="es-MX"/>
        </w:rPr>
      </w:pPr>
      <w:r w:rsidRPr="00AB6C15">
        <w:rPr>
          <w:rFonts w:ascii="Arial" w:eastAsia="Times New Roman" w:hAnsi="Arial" w:cs="Arial"/>
          <w:color w:val="000000"/>
          <w:lang w:eastAsia="es-MX"/>
        </w:rPr>
        <w:t>pilotos,</w:t>
      </w:r>
    </w:p>
    <w:p w14:paraId="648D7A3C" w14:textId="0F9B57DB" w:rsidR="001425BC" w:rsidRPr="00D031C7" w:rsidRDefault="00F277FD" w:rsidP="00C744FC">
      <w:pPr>
        <w:numPr>
          <w:ilvl w:val="0"/>
          <w:numId w:val="9"/>
        </w:numPr>
        <w:spacing w:before="100" w:beforeAutospacing="1" w:after="100" w:afterAutospacing="1"/>
        <w:jc w:val="both"/>
        <w:rPr>
          <w:rFonts w:ascii="Arial" w:eastAsia="Times New Roman" w:hAnsi="Arial" w:cs="Arial"/>
          <w:color w:val="000000"/>
          <w:lang w:eastAsia="es-MX"/>
        </w:rPr>
      </w:pPr>
      <w:r w:rsidRPr="00AB6C15">
        <w:rPr>
          <w:rFonts w:ascii="Arial" w:eastAsia="Times New Roman" w:hAnsi="Arial" w:cs="Arial"/>
          <w:color w:val="000000"/>
          <w:lang w:eastAsia="es-MX"/>
        </w:rPr>
        <w:t>esquemas voluntarios iniciales.</w:t>
      </w:r>
    </w:p>
    <w:p w14:paraId="59EBA21E" w14:textId="34F012C1" w:rsidR="001425BC" w:rsidRPr="00D031C7" w:rsidRDefault="00C744FC" w:rsidP="00C744FC">
      <w:pPr>
        <w:spacing w:before="100" w:beforeAutospacing="1" w:after="100" w:afterAutospacing="1"/>
        <w:jc w:val="both"/>
        <w:rPr>
          <w:rFonts w:ascii="Arial" w:eastAsia="Times New Roman" w:hAnsi="Arial" w:cs="Arial"/>
          <w:color w:val="000000"/>
          <w:lang w:eastAsia="es-MX"/>
        </w:rPr>
      </w:pPr>
      <w:r w:rsidRPr="00D031C7">
        <w:rPr>
          <w:rFonts w:ascii="Arial" w:eastAsia="Times New Roman" w:hAnsi="Arial" w:cs="Arial"/>
          <w:color w:val="000000"/>
          <w:lang w:eastAsia="es-MX"/>
        </w:rPr>
        <w:t>Por otro lado, se crean muchos instrumentos: SIFT, RDGRT, Parque de innovación circular textil, mecanismos de incentivos para la circularidad, la mesa distrital de economía circular textil. Sin embargo, no queda claro, cual es el rol de cada una de las entidades, quien financia, quien opera, quien verifica, ni cómo se van a sostener en el tiempo.</w:t>
      </w:r>
    </w:p>
    <w:p w14:paraId="4EEAE22A" w14:textId="14902D52" w:rsidR="00F0512C" w:rsidRPr="00D031C7" w:rsidRDefault="00C744FC" w:rsidP="00C744FC">
      <w:pPr>
        <w:jc w:val="both"/>
        <w:rPr>
          <w:rFonts w:ascii="Arial" w:eastAsia="Times New Roman" w:hAnsi="Arial" w:cs="Arial"/>
          <w:lang w:eastAsia="es-MX"/>
        </w:rPr>
      </w:pPr>
      <w:r w:rsidRPr="00D031C7">
        <w:rPr>
          <w:rFonts w:ascii="Arial" w:eastAsia="Times New Roman" w:hAnsi="Arial" w:cs="Arial"/>
          <w:lang w:eastAsia="es-MX"/>
        </w:rPr>
        <w:t xml:space="preserve">Finalmente, en el artículo 23 – seguimiento y control, no hay metas distritales concretas de lo que se busca medir, por lo cual evaluar la efectividad del mismo </w:t>
      </w:r>
      <w:r w:rsidR="00D031C7" w:rsidRPr="00D031C7">
        <w:rPr>
          <w:rFonts w:ascii="Arial" w:eastAsia="Times New Roman" w:hAnsi="Arial" w:cs="Arial"/>
          <w:lang w:eastAsia="es-MX"/>
        </w:rPr>
        <w:t>es difícil. Se recomienda ajustar indicadores o metas progresivas (% aprovechamiento, reducción de residuos en el relleno, numero de gestores formalizados, etc..)</w:t>
      </w:r>
    </w:p>
    <w:p w14:paraId="11A24A1D" w14:textId="77777777" w:rsidR="00F0512C" w:rsidRDefault="00F0512C"/>
    <w:sectPr w:rsidR="00F051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C83"/>
    <w:multiLevelType w:val="multilevel"/>
    <w:tmpl w:val="D002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D1E91"/>
    <w:multiLevelType w:val="multilevel"/>
    <w:tmpl w:val="CF62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F9606E"/>
    <w:multiLevelType w:val="multilevel"/>
    <w:tmpl w:val="43A8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C46A02"/>
    <w:multiLevelType w:val="multilevel"/>
    <w:tmpl w:val="4860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863376"/>
    <w:multiLevelType w:val="multilevel"/>
    <w:tmpl w:val="C2640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115FB0"/>
    <w:multiLevelType w:val="multilevel"/>
    <w:tmpl w:val="5C4A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B0626C"/>
    <w:multiLevelType w:val="multilevel"/>
    <w:tmpl w:val="1E54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E3058"/>
    <w:multiLevelType w:val="hybridMultilevel"/>
    <w:tmpl w:val="0436F42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6716326"/>
    <w:multiLevelType w:val="multilevel"/>
    <w:tmpl w:val="F100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5255D5"/>
    <w:multiLevelType w:val="multilevel"/>
    <w:tmpl w:val="46C2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F26FBE"/>
    <w:multiLevelType w:val="multilevel"/>
    <w:tmpl w:val="4A922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7E0EDD"/>
    <w:multiLevelType w:val="multilevel"/>
    <w:tmpl w:val="A8CE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8625666">
    <w:abstractNumId w:val="6"/>
  </w:num>
  <w:num w:numId="2" w16cid:durableId="210118613">
    <w:abstractNumId w:val="4"/>
  </w:num>
  <w:num w:numId="3" w16cid:durableId="385757476">
    <w:abstractNumId w:val="11"/>
  </w:num>
  <w:num w:numId="4" w16cid:durableId="1913848780">
    <w:abstractNumId w:val="9"/>
  </w:num>
  <w:num w:numId="5" w16cid:durableId="1912692273">
    <w:abstractNumId w:val="8"/>
  </w:num>
  <w:num w:numId="6" w16cid:durableId="2128162089">
    <w:abstractNumId w:val="5"/>
  </w:num>
  <w:num w:numId="7" w16cid:durableId="1167017721">
    <w:abstractNumId w:val="3"/>
  </w:num>
  <w:num w:numId="8" w16cid:durableId="864557072">
    <w:abstractNumId w:val="0"/>
  </w:num>
  <w:num w:numId="9" w16cid:durableId="420683534">
    <w:abstractNumId w:val="10"/>
  </w:num>
  <w:num w:numId="10" w16cid:durableId="592280584">
    <w:abstractNumId w:val="2"/>
  </w:num>
  <w:num w:numId="11" w16cid:durableId="1134371155">
    <w:abstractNumId w:val="1"/>
  </w:num>
  <w:num w:numId="12" w16cid:durableId="5303391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12C"/>
    <w:rsid w:val="001425BC"/>
    <w:rsid w:val="006024A2"/>
    <w:rsid w:val="0078458A"/>
    <w:rsid w:val="009A373C"/>
    <w:rsid w:val="00AB6C15"/>
    <w:rsid w:val="00B97831"/>
    <w:rsid w:val="00C31008"/>
    <w:rsid w:val="00C744FC"/>
    <w:rsid w:val="00D031C7"/>
    <w:rsid w:val="00E34EAA"/>
    <w:rsid w:val="00EE7347"/>
    <w:rsid w:val="00F0512C"/>
    <w:rsid w:val="00F277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3A40"/>
  <w15:chartTrackingRefBased/>
  <w15:docId w15:val="{6040BA83-A986-C648-A7ED-18A37592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051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F051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0512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0512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0512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0512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0512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0512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0512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051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F051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051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051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051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051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051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051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0512C"/>
    <w:rPr>
      <w:rFonts w:eastAsiaTheme="majorEastAsia" w:cstheme="majorBidi"/>
      <w:color w:val="272727" w:themeColor="text1" w:themeTint="D8"/>
    </w:rPr>
  </w:style>
  <w:style w:type="paragraph" w:styleId="Ttulo">
    <w:name w:val="Title"/>
    <w:basedOn w:val="Normal"/>
    <w:next w:val="Normal"/>
    <w:link w:val="TtuloCar"/>
    <w:uiPriority w:val="10"/>
    <w:qFormat/>
    <w:rsid w:val="00F0512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051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0512C"/>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051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0512C"/>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F0512C"/>
    <w:rPr>
      <w:i/>
      <w:iCs/>
      <w:color w:val="404040" w:themeColor="text1" w:themeTint="BF"/>
    </w:rPr>
  </w:style>
  <w:style w:type="paragraph" w:styleId="Prrafodelista">
    <w:name w:val="List Paragraph"/>
    <w:basedOn w:val="Normal"/>
    <w:uiPriority w:val="34"/>
    <w:qFormat/>
    <w:rsid w:val="00F0512C"/>
    <w:pPr>
      <w:ind w:left="720"/>
      <w:contextualSpacing/>
    </w:pPr>
  </w:style>
  <w:style w:type="character" w:styleId="nfasisintenso">
    <w:name w:val="Intense Emphasis"/>
    <w:basedOn w:val="Fuentedeprrafopredeter"/>
    <w:uiPriority w:val="21"/>
    <w:qFormat/>
    <w:rsid w:val="00F0512C"/>
    <w:rPr>
      <w:i/>
      <w:iCs/>
      <w:color w:val="0F4761" w:themeColor="accent1" w:themeShade="BF"/>
    </w:rPr>
  </w:style>
  <w:style w:type="paragraph" w:styleId="Citadestacada">
    <w:name w:val="Intense Quote"/>
    <w:basedOn w:val="Normal"/>
    <w:next w:val="Normal"/>
    <w:link w:val="CitadestacadaCar"/>
    <w:uiPriority w:val="30"/>
    <w:qFormat/>
    <w:rsid w:val="00F051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0512C"/>
    <w:rPr>
      <w:i/>
      <w:iCs/>
      <w:color w:val="0F4761" w:themeColor="accent1" w:themeShade="BF"/>
    </w:rPr>
  </w:style>
  <w:style w:type="character" w:styleId="Referenciaintensa">
    <w:name w:val="Intense Reference"/>
    <w:basedOn w:val="Fuentedeprrafopredeter"/>
    <w:uiPriority w:val="32"/>
    <w:qFormat/>
    <w:rsid w:val="00F0512C"/>
    <w:rPr>
      <w:b/>
      <w:bCs/>
      <w:smallCaps/>
      <w:color w:val="0F4761" w:themeColor="accent1" w:themeShade="BF"/>
      <w:spacing w:val="5"/>
    </w:rPr>
  </w:style>
  <w:style w:type="paragraph" w:styleId="NormalWeb">
    <w:name w:val="Normal (Web)"/>
    <w:basedOn w:val="Normal"/>
    <w:uiPriority w:val="99"/>
    <w:semiHidden/>
    <w:unhideWhenUsed/>
    <w:rsid w:val="00F0512C"/>
    <w:pPr>
      <w:spacing w:before="100" w:beforeAutospacing="1" w:after="100" w:afterAutospacing="1"/>
    </w:pPr>
    <w:rPr>
      <w:rFonts w:ascii="Times New Roman" w:eastAsia="Times New Roman" w:hAnsi="Times New Roman" w:cs="Times New Roman"/>
      <w:lang w:eastAsia="es-MX"/>
    </w:rPr>
  </w:style>
  <w:style w:type="character" w:customStyle="1" w:styleId="apple-converted-space">
    <w:name w:val="apple-converted-space"/>
    <w:basedOn w:val="Fuentedeprrafopredeter"/>
    <w:rsid w:val="00F0512C"/>
  </w:style>
  <w:style w:type="paragraph" w:customStyle="1" w:styleId="p1">
    <w:name w:val="p1"/>
    <w:basedOn w:val="Normal"/>
    <w:rsid w:val="001425BC"/>
    <w:rPr>
      <w:rFonts w:ascii="Arial" w:eastAsia="Times New Roman" w:hAnsi="Arial" w:cs="Arial"/>
      <w:color w:val="000000"/>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291</Words>
  <Characters>1605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Larry Garcia</dc:creator>
  <cp:keywords/>
  <dc:description/>
  <cp:lastModifiedBy>Jorge Larry Garcia</cp:lastModifiedBy>
  <cp:revision>1</cp:revision>
  <dcterms:created xsi:type="dcterms:W3CDTF">2026-05-12T19:38:00Z</dcterms:created>
  <dcterms:modified xsi:type="dcterms:W3CDTF">2026-05-12T20:47:00Z</dcterms:modified>
</cp:coreProperties>
</file>